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4C26" w14:textId="434B7B05" w:rsidR="009D3C80" w:rsidRDefault="009D3C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17</w:t>
      </w:r>
      <w:r w:rsidRPr="009D3C80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41BB523F" w14:textId="4BEC79CB" w:rsidR="009D3C80" w:rsidRDefault="009D3C80" w:rsidP="009D3C8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184 cases have been recorded and this makes it the highest number since the first case was recorded in the country. </w:t>
      </w:r>
    </w:p>
    <w:p w14:paraId="4A092B99" w14:textId="747997EC" w:rsidR="009D3C80" w:rsidRDefault="009D3C80" w:rsidP="009D3C8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confirmed cases now stand at 4,044 out of 124,474 samples tested so far in the country. </w:t>
      </w:r>
    </w:p>
    <w:p w14:paraId="77C637F6" w14:textId="5E2F1915" w:rsidR="009D3C80" w:rsidRDefault="009D3C80" w:rsidP="009D3C8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129 are males and 55 are females with all except one, being Kenyans. </w:t>
      </w:r>
    </w:p>
    <w:p w14:paraId="4FE23656" w14:textId="2C0BED61" w:rsidR="009D3C80" w:rsidRDefault="009D3C80" w:rsidP="009D3C8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609E74BC" w14:textId="0FC4710A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111</w:t>
      </w:r>
    </w:p>
    <w:p w14:paraId="4CB73B62" w14:textId="2358370C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19</w:t>
      </w:r>
    </w:p>
    <w:p w14:paraId="4FF77E92" w14:textId="4210CDAB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14</w:t>
      </w:r>
      <w:bookmarkStart w:id="0" w:name="_GoBack"/>
      <w:bookmarkEnd w:id="0"/>
    </w:p>
    <w:p w14:paraId="1D36D63C" w14:textId="36812F77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Meru- 13</w:t>
      </w:r>
    </w:p>
    <w:p w14:paraId="1506B45C" w14:textId="13354F88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9</w:t>
      </w:r>
    </w:p>
    <w:p w14:paraId="34EAA25E" w14:textId="6540EC92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6</w:t>
      </w:r>
    </w:p>
    <w:p w14:paraId="64679146" w14:textId="69A122F3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Nakuru- 4</w:t>
      </w:r>
    </w:p>
    <w:p w14:paraId="65C6A3E2" w14:textId="0AA9E185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3</w:t>
      </w:r>
    </w:p>
    <w:p w14:paraId="4E032904" w14:textId="14677A94" w:rsidR="009D3C80" w:rsidRDefault="009D3C80" w:rsidP="009D3C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Kwale, Kisumu, </w:t>
      </w: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Taveta, Garissa and </w:t>
      </w:r>
      <w:proofErr w:type="spellStart"/>
      <w:r>
        <w:rPr>
          <w:sz w:val="24"/>
          <w:szCs w:val="24"/>
        </w:rPr>
        <w:t>Vihiga</w:t>
      </w:r>
      <w:proofErr w:type="spellEnd"/>
      <w:r>
        <w:rPr>
          <w:sz w:val="24"/>
          <w:szCs w:val="24"/>
        </w:rPr>
        <w:t xml:space="preserve">- 1 case each. </w:t>
      </w:r>
    </w:p>
    <w:p w14:paraId="60D6405A" w14:textId="54CB8412" w:rsidR="009D3C80" w:rsidRDefault="009D3C80" w:rsidP="009D3C80">
      <w:pPr>
        <w:spacing w:line="360" w:lineRule="auto"/>
        <w:rPr>
          <w:sz w:val="24"/>
          <w:szCs w:val="24"/>
        </w:rPr>
      </w:pPr>
    </w:p>
    <w:p w14:paraId="1E968CD2" w14:textId="76C59E9D" w:rsidR="009D3C80" w:rsidRDefault="009D3C80" w:rsidP="009D3C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Vihiga</w:t>
      </w:r>
      <w:proofErr w:type="spellEnd"/>
      <w:r>
        <w:rPr>
          <w:sz w:val="24"/>
          <w:szCs w:val="24"/>
        </w:rPr>
        <w:t xml:space="preserve"> becomes the latest County to have a case and this brings the total number of counties affected to 40. </w:t>
      </w:r>
    </w:p>
    <w:p w14:paraId="1CE18EA8" w14:textId="0B651566" w:rsidR="009D3C80" w:rsidRDefault="009D3C80" w:rsidP="009D3C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27 patients have been discharged from various health facilities bringing the recovery rate to 1,353. </w:t>
      </w:r>
    </w:p>
    <w:p w14:paraId="6E4CA93F" w14:textId="32FE80C9" w:rsidR="009D3C80" w:rsidRPr="009D3C80" w:rsidRDefault="009D3C80" w:rsidP="009D3C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more patients have been lost bringing the fatality rate to 107. </w:t>
      </w:r>
    </w:p>
    <w:sectPr w:rsidR="009D3C80" w:rsidRPr="009D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7C5"/>
    <w:multiLevelType w:val="hybridMultilevel"/>
    <w:tmpl w:val="146A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3659"/>
    <w:multiLevelType w:val="hybridMultilevel"/>
    <w:tmpl w:val="54A244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4E5710"/>
    <w:multiLevelType w:val="hybridMultilevel"/>
    <w:tmpl w:val="B070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0"/>
    <w:rsid w:val="009D3C80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4A25"/>
  <w15:chartTrackingRefBased/>
  <w15:docId w15:val="{56BE4619-6729-4B0F-9AF4-4C05BB3A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2020-06-19T12:10:00Z</dcterms:created>
  <dcterms:modified xsi:type="dcterms:W3CDTF">2020-06-19T12:17:00Z</dcterms:modified>
</cp:coreProperties>
</file>