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80783" w14:textId="1002BBE6" w:rsidR="00DA7839" w:rsidRDefault="002C16BB">
      <w:pPr>
        <w:rPr>
          <w:b/>
          <w:bCs/>
          <w:sz w:val="24"/>
          <w:szCs w:val="24"/>
          <w:u w:val="single"/>
        </w:rPr>
      </w:pPr>
      <w:r>
        <w:rPr>
          <w:b/>
          <w:bCs/>
          <w:sz w:val="24"/>
          <w:szCs w:val="24"/>
          <w:u w:val="single"/>
        </w:rPr>
        <w:t xml:space="preserve">MINISTRY OF HEALTH STATEMENT SUMMARY JUNE </w:t>
      </w:r>
      <w:proofErr w:type="gramStart"/>
      <w:r>
        <w:rPr>
          <w:b/>
          <w:bCs/>
          <w:sz w:val="24"/>
          <w:szCs w:val="24"/>
          <w:u w:val="single"/>
        </w:rPr>
        <w:t>19</w:t>
      </w:r>
      <w:r w:rsidRPr="002C16BB">
        <w:rPr>
          <w:b/>
          <w:bCs/>
          <w:sz w:val="24"/>
          <w:szCs w:val="24"/>
          <w:u w:val="single"/>
          <w:vertAlign w:val="superscript"/>
        </w:rPr>
        <w:t>TH</w:t>
      </w:r>
      <w:proofErr w:type="gramEnd"/>
      <w:r>
        <w:rPr>
          <w:b/>
          <w:bCs/>
          <w:sz w:val="24"/>
          <w:szCs w:val="24"/>
          <w:u w:val="single"/>
        </w:rPr>
        <w:t xml:space="preserve"> 2020</w:t>
      </w:r>
    </w:p>
    <w:p w14:paraId="53EF2019" w14:textId="720AF6F2" w:rsidR="002C16BB" w:rsidRDefault="002C16BB" w:rsidP="006574A6">
      <w:pPr>
        <w:pStyle w:val="ListParagraph"/>
        <w:numPr>
          <w:ilvl w:val="0"/>
          <w:numId w:val="1"/>
        </w:numPr>
        <w:spacing w:line="360" w:lineRule="auto"/>
        <w:rPr>
          <w:rFonts w:cstheme="minorHAnsi"/>
          <w:sz w:val="24"/>
          <w:szCs w:val="24"/>
        </w:rPr>
      </w:pPr>
      <w:r w:rsidRPr="002C16BB">
        <w:rPr>
          <w:rFonts w:cstheme="minorHAnsi"/>
          <w:sz w:val="24"/>
          <w:szCs w:val="24"/>
        </w:rPr>
        <w:t>Today,</w:t>
      </w:r>
      <w:r>
        <w:rPr>
          <w:rFonts w:cstheme="minorHAnsi"/>
          <w:sz w:val="24"/>
          <w:szCs w:val="24"/>
        </w:rPr>
        <w:t xml:space="preserve"> we mark World Sickle Cell Diseases Day. The United Nations established this day in 2008 to increase public knowledge and spread awareness of the Sickle Cell Disease. The theme of this year is: “Break the Silence</w:t>
      </w:r>
      <w:r w:rsidR="006574A6">
        <w:rPr>
          <w:rFonts w:cstheme="minorHAnsi"/>
          <w:sz w:val="24"/>
          <w:szCs w:val="24"/>
        </w:rPr>
        <w:t xml:space="preserve"> </w:t>
      </w:r>
      <w:bookmarkStart w:id="0" w:name="_GoBack"/>
      <w:bookmarkEnd w:id="0"/>
      <w:r>
        <w:rPr>
          <w:rFonts w:cstheme="minorHAnsi"/>
          <w:sz w:val="24"/>
          <w:szCs w:val="24"/>
        </w:rPr>
        <w:t xml:space="preserve">and Shine a light on the Sickle Cell Disease”. </w:t>
      </w:r>
    </w:p>
    <w:p w14:paraId="5846F953" w14:textId="06C058A0" w:rsidR="002C16BB" w:rsidRDefault="002C16BB" w:rsidP="006574A6">
      <w:pPr>
        <w:pStyle w:val="ListParagraph"/>
        <w:numPr>
          <w:ilvl w:val="0"/>
          <w:numId w:val="1"/>
        </w:numPr>
        <w:spacing w:line="360" w:lineRule="auto"/>
        <w:rPr>
          <w:rFonts w:cstheme="minorHAnsi"/>
          <w:sz w:val="24"/>
          <w:szCs w:val="24"/>
        </w:rPr>
      </w:pPr>
      <w:r>
        <w:rPr>
          <w:rFonts w:cstheme="minorHAnsi"/>
          <w:sz w:val="24"/>
          <w:szCs w:val="24"/>
        </w:rPr>
        <w:t xml:space="preserve">Persons living with Sickle cell are at a high risk of contracting Covid-19 and more likely to get severe illness when infected. </w:t>
      </w:r>
    </w:p>
    <w:p w14:paraId="1C149CC3" w14:textId="4D131705" w:rsidR="002C16BB" w:rsidRDefault="002C16BB" w:rsidP="006574A6">
      <w:pPr>
        <w:pStyle w:val="ListParagraph"/>
        <w:numPr>
          <w:ilvl w:val="0"/>
          <w:numId w:val="1"/>
        </w:numPr>
        <w:spacing w:line="360" w:lineRule="auto"/>
        <w:rPr>
          <w:rFonts w:cstheme="minorHAnsi"/>
          <w:sz w:val="24"/>
          <w:szCs w:val="24"/>
        </w:rPr>
      </w:pPr>
      <w:r>
        <w:rPr>
          <w:rFonts w:cstheme="minorHAnsi"/>
          <w:sz w:val="24"/>
          <w:szCs w:val="24"/>
        </w:rPr>
        <w:t>At least 240,000 children in Africa are born with this disease and sadly, 50 to 80 percent do not make it to their 5</w:t>
      </w:r>
      <w:r w:rsidRPr="002C16BB">
        <w:rPr>
          <w:rFonts w:cstheme="minorHAnsi"/>
          <w:sz w:val="24"/>
          <w:szCs w:val="24"/>
          <w:vertAlign w:val="superscript"/>
        </w:rPr>
        <w:t>th</w:t>
      </w:r>
      <w:r>
        <w:rPr>
          <w:rFonts w:cstheme="minorHAnsi"/>
          <w:sz w:val="24"/>
          <w:szCs w:val="24"/>
        </w:rPr>
        <w:t xml:space="preserve"> birthdays. </w:t>
      </w:r>
    </w:p>
    <w:p w14:paraId="70670B35" w14:textId="31AFA77D" w:rsidR="002C16BB" w:rsidRDefault="002C16BB" w:rsidP="006574A6">
      <w:pPr>
        <w:pStyle w:val="ListParagraph"/>
        <w:numPr>
          <w:ilvl w:val="0"/>
          <w:numId w:val="1"/>
        </w:numPr>
        <w:spacing w:line="360" w:lineRule="auto"/>
        <w:rPr>
          <w:rFonts w:cstheme="minorHAnsi"/>
          <w:sz w:val="24"/>
          <w:szCs w:val="24"/>
        </w:rPr>
      </w:pPr>
      <w:r>
        <w:rPr>
          <w:rFonts w:cstheme="minorHAnsi"/>
          <w:sz w:val="24"/>
          <w:szCs w:val="24"/>
        </w:rPr>
        <w:t xml:space="preserve">As pertains to out Covid-19 situation, 117 people have tested positive for this disease from a sample size of 3,043 tested in the last 24 hours. </w:t>
      </w:r>
    </w:p>
    <w:p w14:paraId="3AB92D11" w14:textId="61535048" w:rsidR="002C16BB" w:rsidRDefault="002C16BB" w:rsidP="006574A6">
      <w:pPr>
        <w:pStyle w:val="ListParagraph"/>
        <w:numPr>
          <w:ilvl w:val="0"/>
          <w:numId w:val="1"/>
        </w:numPr>
        <w:spacing w:line="360" w:lineRule="auto"/>
        <w:rPr>
          <w:rFonts w:cstheme="minorHAnsi"/>
          <w:sz w:val="24"/>
          <w:szCs w:val="24"/>
        </w:rPr>
      </w:pPr>
      <w:r>
        <w:rPr>
          <w:rFonts w:cstheme="minorHAnsi"/>
          <w:sz w:val="24"/>
          <w:szCs w:val="24"/>
        </w:rPr>
        <w:t xml:space="preserve">The confirmed cases in the country now stands at 4,374. The total tests carried out so far are 133,541. </w:t>
      </w:r>
    </w:p>
    <w:p w14:paraId="543BCE12" w14:textId="52872B37" w:rsidR="002C16BB" w:rsidRDefault="002C16BB" w:rsidP="006574A6">
      <w:pPr>
        <w:pStyle w:val="ListParagraph"/>
        <w:numPr>
          <w:ilvl w:val="0"/>
          <w:numId w:val="1"/>
        </w:numPr>
        <w:spacing w:line="360" w:lineRule="auto"/>
        <w:rPr>
          <w:rFonts w:cstheme="minorHAnsi"/>
          <w:sz w:val="24"/>
          <w:szCs w:val="24"/>
        </w:rPr>
      </w:pPr>
      <w:r>
        <w:rPr>
          <w:rFonts w:cstheme="minorHAnsi"/>
          <w:sz w:val="24"/>
          <w:szCs w:val="24"/>
        </w:rPr>
        <w:t xml:space="preserve">From the positive cases, 112 are Kenyans and 5 are foreigners. 83 are males, 34 are females. The youngest is 11 while the oldest is 75. </w:t>
      </w:r>
    </w:p>
    <w:p w14:paraId="2691D132" w14:textId="0D62844F" w:rsidR="002C16BB" w:rsidRDefault="002C16BB" w:rsidP="006574A6">
      <w:pPr>
        <w:pStyle w:val="ListParagraph"/>
        <w:numPr>
          <w:ilvl w:val="0"/>
          <w:numId w:val="1"/>
        </w:numPr>
        <w:spacing w:line="360" w:lineRule="auto"/>
        <w:rPr>
          <w:rFonts w:cstheme="minorHAnsi"/>
          <w:sz w:val="24"/>
          <w:szCs w:val="24"/>
        </w:rPr>
      </w:pPr>
      <w:r>
        <w:rPr>
          <w:rFonts w:cstheme="minorHAnsi"/>
          <w:sz w:val="24"/>
          <w:szCs w:val="24"/>
        </w:rPr>
        <w:t xml:space="preserve">The distribution of cases by county is as follows: </w:t>
      </w:r>
    </w:p>
    <w:p w14:paraId="177A8CB7" w14:textId="65887B15" w:rsidR="002C16BB" w:rsidRDefault="002C16BB" w:rsidP="006574A6">
      <w:pPr>
        <w:pStyle w:val="ListParagraph"/>
        <w:numPr>
          <w:ilvl w:val="0"/>
          <w:numId w:val="2"/>
        </w:numPr>
        <w:spacing w:line="360" w:lineRule="auto"/>
        <w:rPr>
          <w:rFonts w:cstheme="minorHAnsi"/>
          <w:sz w:val="24"/>
          <w:szCs w:val="24"/>
        </w:rPr>
      </w:pPr>
      <w:r>
        <w:rPr>
          <w:rFonts w:cstheme="minorHAnsi"/>
          <w:sz w:val="24"/>
          <w:szCs w:val="24"/>
        </w:rPr>
        <w:t>Nairobi – 51</w:t>
      </w:r>
    </w:p>
    <w:p w14:paraId="57302514" w14:textId="45B8CA9E" w:rsidR="002C16BB" w:rsidRDefault="002C16BB" w:rsidP="006574A6">
      <w:pPr>
        <w:pStyle w:val="ListParagraph"/>
        <w:numPr>
          <w:ilvl w:val="0"/>
          <w:numId w:val="2"/>
        </w:numPr>
        <w:spacing w:line="360" w:lineRule="auto"/>
        <w:rPr>
          <w:rFonts w:cstheme="minorHAnsi"/>
          <w:sz w:val="24"/>
          <w:szCs w:val="24"/>
        </w:rPr>
      </w:pPr>
      <w:r>
        <w:rPr>
          <w:rFonts w:cstheme="minorHAnsi"/>
          <w:sz w:val="24"/>
          <w:szCs w:val="24"/>
        </w:rPr>
        <w:t>Mombasa – 22</w:t>
      </w:r>
    </w:p>
    <w:p w14:paraId="2426BC8E" w14:textId="1079F666" w:rsidR="002C16BB" w:rsidRDefault="002C16BB" w:rsidP="006574A6">
      <w:pPr>
        <w:pStyle w:val="ListParagraph"/>
        <w:numPr>
          <w:ilvl w:val="0"/>
          <w:numId w:val="2"/>
        </w:numPr>
        <w:spacing w:line="360" w:lineRule="auto"/>
        <w:rPr>
          <w:rFonts w:cstheme="minorHAnsi"/>
          <w:sz w:val="24"/>
          <w:szCs w:val="24"/>
        </w:rPr>
      </w:pPr>
      <w:r>
        <w:rPr>
          <w:rFonts w:cstheme="minorHAnsi"/>
          <w:sz w:val="24"/>
          <w:szCs w:val="24"/>
        </w:rPr>
        <w:t>Kajiado – 18</w:t>
      </w:r>
    </w:p>
    <w:p w14:paraId="40CBA660" w14:textId="1B13445E" w:rsidR="002C16BB" w:rsidRDefault="002C16BB" w:rsidP="006574A6">
      <w:pPr>
        <w:pStyle w:val="ListParagraph"/>
        <w:numPr>
          <w:ilvl w:val="0"/>
          <w:numId w:val="2"/>
        </w:numPr>
        <w:spacing w:line="360" w:lineRule="auto"/>
        <w:rPr>
          <w:rFonts w:cstheme="minorHAnsi"/>
          <w:sz w:val="24"/>
          <w:szCs w:val="24"/>
        </w:rPr>
      </w:pPr>
      <w:r>
        <w:rPr>
          <w:rFonts w:cstheme="minorHAnsi"/>
          <w:sz w:val="24"/>
          <w:szCs w:val="24"/>
        </w:rPr>
        <w:t>Kiambu – 6</w:t>
      </w:r>
    </w:p>
    <w:p w14:paraId="6BEFE6A9" w14:textId="78C37F10" w:rsidR="002C16BB" w:rsidRDefault="002C16BB" w:rsidP="006574A6">
      <w:pPr>
        <w:pStyle w:val="ListParagraph"/>
        <w:numPr>
          <w:ilvl w:val="0"/>
          <w:numId w:val="2"/>
        </w:numPr>
        <w:spacing w:line="360" w:lineRule="auto"/>
        <w:rPr>
          <w:rFonts w:cstheme="minorHAnsi"/>
          <w:sz w:val="24"/>
          <w:szCs w:val="24"/>
        </w:rPr>
      </w:pPr>
      <w:r>
        <w:rPr>
          <w:rFonts w:cstheme="minorHAnsi"/>
          <w:sz w:val="24"/>
          <w:szCs w:val="24"/>
        </w:rPr>
        <w:t>Nakuru – 5</w:t>
      </w:r>
    </w:p>
    <w:p w14:paraId="303BA480" w14:textId="72581982" w:rsidR="002C16BB" w:rsidRDefault="002C16BB" w:rsidP="006574A6">
      <w:pPr>
        <w:pStyle w:val="ListParagraph"/>
        <w:numPr>
          <w:ilvl w:val="0"/>
          <w:numId w:val="2"/>
        </w:numPr>
        <w:spacing w:line="360" w:lineRule="auto"/>
        <w:rPr>
          <w:rFonts w:cstheme="minorHAnsi"/>
          <w:sz w:val="24"/>
          <w:szCs w:val="24"/>
        </w:rPr>
      </w:pPr>
      <w:r>
        <w:rPr>
          <w:rFonts w:cstheme="minorHAnsi"/>
          <w:sz w:val="24"/>
          <w:szCs w:val="24"/>
        </w:rPr>
        <w:t>Garissa – 5</w:t>
      </w:r>
    </w:p>
    <w:p w14:paraId="00538E0B" w14:textId="0B7E603B" w:rsidR="002C16BB" w:rsidRDefault="002C16BB" w:rsidP="006574A6">
      <w:pPr>
        <w:pStyle w:val="ListParagraph"/>
        <w:numPr>
          <w:ilvl w:val="0"/>
          <w:numId w:val="2"/>
        </w:numPr>
        <w:spacing w:line="360" w:lineRule="auto"/>
        <w:rPr>
          <w:rFonts w:cstheme="minorHAnsi"/>
          <w:sz w:val="24"/>
          <w:szCs w:val="24"/>
        </w:rPr>
      </w:pPr>
      <w:r>
        <w:rPr>
          <w:rFonts w:cstheme="minorHAnsi"/>
          <w:sz w:val="24"/>
          <w:szCs w:val="24"/>
        </w:rPr>
        <w:t>Machakos – 3</w:t>
      </w:r>
    </w:p>
    <w:p w14:paraId="292641E1" w14:textId="18A74D8A" w:rsidR="002C16BB" w:rsidRDefault="002C16BB" w:rsidP="006574A6">
      <w:pPr>
        <w:pStyle w:val="ListParagraph"/>
        <w:numPr>
          <w:ilvl w:val="0"/>
          <w:numId w:val="2"/>
        </w:numPr>
        <w:spacing w:line="360" w:lineRule="auto"/>
        <w:rPr>
          <w:rFonts w:cstheme="minorHAnsi"/>
          <w:sz w:val="24"/>
          <w:szCs w:val="24"/>
        </w:rPr>
      </w:pPr>
      <w:r>
        <w:rPr>
          <w:rFonts w:cstheme="minorHAnsi"/>
          <w:sz w:val="24"/>
          <w:szCs w:val="24"/>
        </w:rPr>
        <w:t>Kericho, Busia, Uasin Gishu – 2 each</w:t>
      </w:r>
    </w:p>
    <w:p w14:paraId="6556694B" w14:textId="47A96900" w:rsidR="002C16BB" w:rsidRDefault="002C16BB" w:rsidP="006574A6">
      <w:pPr>
        <w:pStyle w:val="ListParagraph"/>
        <w:numPr>
          <w:ilvl w:val="0"/>
          <w:numId w:val="2"/>
        </w:numPr>
        <w:spacing w:line="360" w:lineRule="auto"/>
        <w:rPr>
          <w:rFonts w:cstheme="minorHAnsi"/>
          <w:sz w:val="24"/>
          <w:szCs w:val="24"/>
        </w:rPr>
      </w:pPr>
      <w:r>
        <w:rPr>
          <w:rFonts w:cstheme="minorHAnsi"/>
          <w:sz w:val="24"/>
          <w:szCs w:val="24"/>
        </w:rPr>
        <w:t xml:space="preserve">Wajir – 1 </w:t>
      </w:r>
    </w:p>
    <w:p w14:paraId="492DF5D9" w14:textId="76C98523" w:rsidR="006574A6" w:rsidRDefault="006574A6" w:rsidP="006574A6">
      <w:pPr>
        <w:spacing w:line="360" w:lineRule="auto"/>
        <w:rPr>
          <w:rFonts w:cstheme="minorHAnsi"/>
          <w:sz w:val="24"/>
          <w:szCs w:val="24"/>
        </w:rPr>
      </w:pPr>
    </w:p>
    <w:p w14:paraId="2C058D85" w14:textId="419A09F6" w:rsidR="006574A6" w:rsidRDefault="006574A6" w:rsidP="006574A6">
      <w:pPr>
        <w:pStyle w:val="ListParagraph"/>
        <w:numPr>
          <w:ilvl w:val="0"/>
          <w:numId w:val="3"/>
        </w:numPr>
        <w:spacing w:line="360" w:lineRule="auto"/>
        <w:rPr>
          <w:rFonts w:cstheme="minorHAnsi"/>
          <w:sz w:val="24"/>
          <w:szCs w:val="24"/>
        </w:rPr>
      </w:pPr>
      <w:r>
        <w:rPr>
          <w:rFonts w:cstheme="minorHAnsi"/>
          <w:sz w:val="24"/>
          <w:szCs w:val="24"/>
        </w:rPr>
        <w:t xml:space="preserve">91 patients have been discharged from various hospitals bringing the total number of recoveries to 1,550. </w:t>
      </w:r>
    </w:p>
    <w:p w14:paraId="4D7CF02E" w14:textId="46185FA8" w:rsidR="006574A6" w:rsidRPr="006574A6" w:rsidRDefault="006574A6" w:rsidP="006574A6">
      <w:pPr>
        <w:pStyle w:val="ListParagraph"/>
        <w:numPr>
          <w:ilvl w:val="0"/>
          <w:numId w:val="3"/>
        </w:numPr>
        <w:spacing w:line="360" w:lineRule="auto"/>
        <w:rPr>
          <w:rFonts w:cstheme="minorHAnsi"/>
          <w:sz w:val="24"/>
          <w:szCs w:val="24"/>
        </w:rPr>
      </w:pPr>
      <w:r>
        <w:rPr>
          <w:rFonts w:cstheme="minorHAnsi"/>
          <w:sz w:val="24"/>
          <w:szCs w:val="24"/>
        </w:rPr>
        <w:t xml:space="preserve">2 patients were lost today bringing the total fatality rate to 119. </w:t>
      </w:r>
    </w:p>
    <w:sectPr w:rsidR="006574A6" w:rsidRPr="00657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C77E4"/>
    <w:multiLevelType w:val="hybridMultilevel"/>
    <w:tmpl w:val="953E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C0C4F"/>
    <w:multiLevelType w:val="hybridMultilevel"/>
    <w:tmpl w:val="EE3649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C122FFD"/>
    <w:multiLevelType w:val="hybridMultilevel"/>
    <w:tmpl w:val="644A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BB"/>
    <w:rsid w:val="002C16BB"/>
    <w:rsid w:val="006574A6"/>
    <w:rsid w:val="00DA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68E6"/>
  <w15:chartTrackingRefBased/>
  <w15:docId w15:val="{7A876089-9898-4B8F-829C-9963FCC1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Ringera</dc:creator>
  <cp:keywords/>
  <dc:description/>
  <cp:lastModifiedBy>David Ringera</cp:lastModifiedBy>
  <cp:revision>1</cp:revision>
  <dcterms:created xsi:type="dcterms:W3CDTF">2020-06-29T13:04:00Z</dcterms:created>
  <dcterms:modified xsi:type="dcterms:W3CDTF">2020-06-29T13:16:00Z</dcterms:modified>
</cp:coreProperties>
</file>